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81a GenG — Auflösung bei Insolvenz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Genossenschaft wird aufgelöst</w:t>
      </w:r>
    </w:p>
    <w:p>
      <w:pPr>
        <w:ind w:left="420"/>
      </w:pPr>
      <w:r>
        <w:t xml:space="preserve">1. mit der Rechtskraft des Beschlusses, durch den die Eröffnung des Insolvenzverfahrens mangels Masse abgelehnt worden ist;</w:t>
      </w:r>
    </w:p>
    <w:p>
      <w:pPr>
        <w:ind w:left="420"/>
      </w:pPr>
      <w:r>
        <w:t xml:space="preserve">2. durch die Löschung wegen Vermögenslosigkeit nach § 394 des Gesetzes über das Verfahren in Familiensachen und in den Angelegenheiten der freiwilligen Gerichtsbarkeit.</w:t>
      </w:r>
    </w:p>
    <w:p>
      <w:r>
        <w:rPr>
          <w:color w:val="555555"/>
          <w:sz w:val="17"/>
        </w:rPr>
        <w:t xml:space="preserve">Zitiervorschlag: § 81a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https://recht.nulegal.eu/gesetze/GenG/81a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