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7a GenG — Mehrere Geschäftsanteile; Sacheinlagen</w:t>
      </w:r>
    </w:p>
    <w:p>
      <w:r>
        <w:rPr>
          <w:color w:val="555555"/>
          <w:sz w:val="18"/>
        </w:rPr>
        <w:t xml:space="preserve">Genossenschaftsgesetz</w:t>
      </w:r>
    </w:p>
    <w:p>
      <w:r>
        <w:rPr>
          <w:color w:val="555555"/>
          <w:sz w:val="18"/>
        </w:rPr>
        <w:t xml:space="preserve">Stand: 10.06.2019 (konsolidierte Textfassung, kein amtliches Inkrafttretensdatum)</w:t>
      </w:r>
    </w:p>
    <w:p>
      <w:r>
        <w:t xml:space="preserve">(1) Die Satzung kann bestimmen, dass sich ein Mitglied mit mehr als einem Geschäftsanteil beteiligen darf. Die Satzung kann eine Höchstzahl festsetzen und weitere Voraussetzungen aufstellen.</w:t>
      </w:r>
    </w:p>
    <w:p>
      <w:r>
        <w:t xml:space="preserve">(2) Die Satzung kann auch bestimmen, dass die Mitglieder sich mit mehreren Geschäftsanteilen zu beteiligen haben (Pflichtbeteiligung). Die Pflichtbeteiligung muss für alle Mitglieder gleich sein oder sich nach dem Umfang der Inanspruchnahme von Einrichtungen oder anderen Leistungen der Genossenschaft durch die Mitglieder oder nach bestimmten wirtschaftlichen Merkmalen der Betriebe der Mitglieder richten.</w:t>
      </w:r>
    </w:p>
    <w:p>
      <w:r>
        <w:t xml:space="preserve">(3) Die Satzung kann Sacheinlagen als Einzahlungen auf den Geschäftsanteil zulassen.</w:t>
      </w:r>
    </w:p>
    <w:p>
      <w:r>
        <w:rPr>
          <w:color w:val="555555"/>
          <w:sz w:val="17"/>
        </w:rPr>
        <w:t xml:space="preserve">Zitiervorschlag: § 7a GenG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https://recht.nulegal.eu/gesetze/GenG/7a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