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GenG — Auflösung durch Zeitablauf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Genossenschaft nach der Satzung auf eine bestimmte Zeit beschränkt, ist sie mit dem Ablauf der bestimmten Zeit aufgelöst.</w:t>
      </w:r>
    </w:p>
    <w:p>
      <w:r>
        <w:t xml:space="preserve">(2) § 78 Abs. 2 ist anzuwenden.</w:t>
      </w:r>
    </w:p>
    <w:p>
      <w:r>
        <w:rPr>
          <w:color w:val="555555"/>
          <w:sz w:val="17"/>
        </w:rPr>
        <w:t xml:space="preserve">Zitiervorschlag: § 79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