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GenG — Auflösung durch Beschluss der Generalversammlung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Genossenschaft kann durch Beschluss der Generalversammlung jederzeit aufgelöst werden; der Beschluss bedarf einer Mehrheit, die mindestens drei Viertel der abgegebenen Stimmen umfasst. Die Satzung kann eine größere Mehrheit und weitere Erfordernisse bestimmen.</w:t>
      </w:r>
    </w:p>
    <w:p>
      <w:r>
        <w:t xml:space="preserve">(2) Die Auflösung ist durch den Vorstand unverzüglich zur Eintragung in das Genossenschaftsregister anzumelden.</w:t>
      </w:r>
    </w:p>
    <w:p>
      <w:r>
        <w:rPr>
          <w:color w:val="555555"/>
          <w:sz w:val="17"/>
        </w:rPr>
        <w:t xml:space="preserve">Zitiervorschlag: § 78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