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GenG — Tod des Mitglieds</w:t>
      </w:r>
    </w:p>
    <w:p>
      <w:r>
        <w:rPr>
          <w:color w:val="555555"/>
          <w:sz w:val="18"/>
        </w:rPr>
        <w:t xml:space="preserve">Genossenschaftsgesetz</w:t>
      </w:r>
    </w:p>
    <w:p>
      <w:r>
        <w:rPr>
          <w:color w:val="555555"/>
          <w:sz w:val="18"/>
        </w:rPr>
        <w:t xml:space="preserve">Stand: 10.06.2019 (konsolidierte Textfassung, kein amtliches Inkrafttretensdatum)</w:t>
      </w:r>
    </w:p>
    <w:p>
      <w:r>
        <w:t xml:space="preserve">(1) Mit dem Tod eines Mitglieds geht die Mitgliedschaft auf den Erben über. Sie endet mit dem Schluss des Geschäftsjahres, in dem der Erbfall eingetreten ist. Mehrere Erben können das Stimmrecht in der Generalversammlung nur durch einen gemeinschaftlichen Vertreter ausüben.</w:t>
      </w:r>
    </w:p>
    <w:p>
      <w:r>
        <w:t xml:space="preserve">(2) Die Satzung kann bestimmen, dass im Falle des Todes eines Mitglieds dessen Mitgliedschaft in der Genossenschaft durch dessen Erben fortgesetzt wird. Die Satzung kann die Fortsetzung der Mitgliedschaft von persönlichen Voraussetzungen des Rechtsnachfolgers abhängig machen. Für den Fall der Beerbung des Erblassers durch mehrere Erben kann auch bestimmt werden, dass die Mitgliedschaft endet, wenn sie nicht innerhalb einer in der Satzung festgesetzten Frist einem Miterben allein überlassen worden ist.</w:t>
      </w:r>
    </w:p>
    <w:p>
      <w:r>
        <w:t xml:space="preserve">(3) Der Tod des Mitglieds sowie der Zeitpunkt der Beendigung der Mitgliedschaft, im Falle des Absatzes 2 auch die Fortsetzung der Mitgliedschaft durch einen oder mehrere Erben, sind unverzüglich in die Mitgliederliste einzutragen. Die Erben des verstorbenen Mitglieds sind unverzüglich von der Eintragung zu benachrichtigen.</w:t>
      </w:r>
    </w:p>
    <w:p>
      <w:r>
        <w:t xml:space="preserve">(4) Bei Beendigung der Mitgliedschaft des Erben gelten die §§ 73 und 75, im Falle der Fortsetzung der Mitgliedschaft gilt § 76 Abs. 4 entsprechend.</w:t>
      </w:r>
    </w:p>
    <w:p>
      <w:r>
        <w:rPr>
          <w:color w:val="555555"/>
          <w:sz w:val="17"/>
        </w:rPr>
        <w:t xml:space="preserve">Zitiervorschlag: § 77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