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73 GenG — Auseinandersetzung mit ausgeschiedenem Mitglied</w:t>
      </w:r>
    </w:p>
    <w:p>
      <w:r>
        <w:rPr>
          <w:color w:val="555555"/>
          <w:sz w:val="18"/>
        </w:rPr>
        <w:t xml:space="preserve">Genossenschaftsgesetz</w:t>
      </w:r>
    </w:p>
    <w:p>
      <w:r>
        <w:rPr>
          <w:color w:val="555555"/>
          <w:sz w:val="18"/>
        </w:rPr>
        <w:t xml:space="preserve">Stand: 10.06.2019 (konsolidierte Textfassung, kein amtliches Inkrafttretensdatum)</w:t>
      </w:r>
    </w:p>
    <w:p>
      <w:r>
        <w:t xml:space="preserve">(1) Nach Beendigung der Mitgliedschaft erfolgt eine Auseinandersetzung der Genossenschaft mit dem ausgeschiedenen Mitglied. Sie bestimmt sich nach der Vermögenslage der Genossenschaft und der Zahl ihrer Mitglieder zum Zeitpunkt der Beendigung der Mitgliedschaft.</w:t>
      </w:r>
    </w:p>
    <w:p>
      <w:r>
        <w:t xml:space="preserve">(2) Die Auseinandersetzung erfolgt unter Zugrundelegung der Bilanz. Das Geschäftsguthaben des Mitglieds ist vorbehaltlich des Absatzes 4 und des § 8a Abs. 2 binnen sechs Monaten nach Beendigung der Mitgliedschaft auszuzahlen. Auf die Rücklagen und das sonstige Vermögen der Genossenschaft hat das Mitglied vorbehaltlich des Absatzes 3 keinen Anspruch. Reicht das Vermögen einschließlich der Rücklagen und aller Geschäftsguthaben zur Deckung der Schulden der Genossenschaft nicht aus, hat das ehemalige Mitglied von dem Fehlbetrag den ihn betreffenden Anteil an die Genossenschaft zu zahlen, soweit es im Falle des Insolvenzverfahrens Nachschüsse an die Genossenschaft zu leisten gehabt hätte; der Anteil wird nach der Kopfzahl der Mitglieder berechnet, soweit nicht die Satzung eine abweichende Berechnung bestimmt.</w:t>
      </w:r>
    </w:p>
    <w:p>
      <w:r>
        <w:t xml:space="preserve">(3) Die Satzung kann Mitgliedern, die ihren Geschäftsanteil voll eingezahlt haben, für den Fall der Beendigung der Mitgliedschaft einen Anspruch auf Auszahlung eines Anteils an einer zu diesem Zweck aus dem Jahresüberschuss zu bildenden Ergebnisrücklage einräumen. Die Satzung kann den Anspruch von einer Mindestdauer der Mitgliedschaft abhängig machen sowie weitere Erfordernisse aufstellen und Beschränkungen des Anspruchs vorsehen. Absatz 2 Satz 2 ist entsprechend anzuwenden.</w:t>
      </w:r>
    </w:p>
    <w:p>
      <w:r>
        <w:t xml:space="preserve">(4) Die Satzung kann die Voraussetzungen, die Modalitäten und die Frist für die Auszahlung des Auseinandersetzungsguthabens abweichend von Absatz 2 Satz 2 regeln; eine Bestimmung, nach der über Voraussetzungen oder Zeitpunkt der Auszahlung ausschließlich der Vorstand zu entscheiden hat, ist unwirksam.</w:t>
      </w:r>
    </w:p>
    <w:p>
      <w:r>
        <w:rPr>
          <w:color w:val="555555"/>
          <w:sz w:val="17"/>
        </w:rPr>
        <w:t xml:space="preserve">Zitiervorschlag: § 73 GenG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https://recht.nulegal.eu/gesetze/GenG/73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