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67b GenG — Kündigung einzelner Geschäftsanteile</w:t>
      </w:r>
    </w:p>
    <w:p>
      <w:r>
        <w:rPr>
          <w:color w:val="555555"/>
          <w:sz w:val="18"/>
        </w:rPr>
        <w:t xml:space="preserve">Genossenschaftsgesetz</w:t>
      </w:r>
    </w:p>
    <w:p>
      <w:r>
        <w:rPr>
          <w:color w:val="555555"/>
          <w:sz w:val="18"/>
        </w:rPr>
        <w:t xml:space="preserve">Stand: 01.01.2025 (konsolidierte Textfassung, kein amtliches Inkrafttretensdatum)</w:t>
      </w:r>
    </w:p>
    <w:p>
      <w:r>
        <w:t xml:space="preserve">(1) Ein Mitglied, das mit mehreren Geschäftsanteilen beteiligt ist, kann die Beteiligung mit einem oder mehreren seiner weiteren Geschäftsanteile zum Schluss eines Geschäftsjahres durch Erklärung in Textform kündigen, soweit es nicht nach der Satzung oder einer Vereinbarung mit der Genossenschaft zur Beteiligung mit mehreren Geschäftsanteilen verpflichtet ist oder die Beteiligung mit mehreren Geschäftsanteilen Voraussetzung für eine von dem Mitglied in Anspruch genommene Leistung der Genossenschaft ist. Die Satzung kann für die Kündigung die Schriftform vorschreiben.</w:t>
      </w:r>
    </w:p>
    <w:p>
      <w:r>
        <w:t xml:space="preserve">(2) § 65 Abs. 2 bis 5 gilt sinngemäß.</w:t>
      </w:r>
    </w:p>
    <w:p>
      <w:r>
        <w:rPr>
          <w:color w:val="555555"/>
          <w:sz w:val="17"/>
        </w:rPr>
        <w:t xml:space="preserve">Zitiervorschlag: § 67b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