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63g GenG — Durchführung der Qualitätskontrolle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Prüfungsverband muss Mitglied der Wirtschaftsprüferkammer nach Maßgabe des § 58 Abs. 2 Satz 2 der Wirtschaftsprüferordnung sein. Er erteilt einem Prüfer für Qualitätskontrolle den Auftrag zur Durchführung der Qualitätskontrolle. § 57a Abs. 7 der Wirtschaftsprüferordnung über die Kündigung des Auftrags ist entsprechend anzuwenden.</w:t>
      </w:r>
    </w:p>
    <w:p>
      <w:r>
        <w:t xml:space="preserve">(2) Auf das Prüfungsverfahren sind § 57a Absatz 5, 5b, 6, 6a Satz 1 sowie Absatz 8, die §§ 57b bis 57e Absatz 1, 2 Satz 1, 2 und 4 und Absatz 3 Satz 1, § 66a Absatz 1 Satz 1, Absatz 3 Satz 1 bis 3, Absatz 5 Satz 1 und § 66b der Wirtschaftsprüferordnung entsprechend anzuwenden. Die Ergebnisse einer Inspektion nach § 63h sind im Rahmen der Qualitätskontrolle zu berücksichtigen. Soweit dies zur Durchführung der Qualitätskontrolle erforderlich ist, ist die Pflicht zur Verschwiegenheit nach § 62 Abs. 1 eingeschränkt.</w:t>
      </w:r>
    </w:p>
    <w:p>
      <w:r>
        <w:t xml:space="preserve">(3) Die Kommission für Qualitätskontrolle nach § 57e Absatz 1 der Wirtschaftsprüferordnung hat die zuständige Aufsichtsbehörde unverzüglich zu unterrichten, wenn ein Prüfungsverband wegen fehlender Durchführung der Qualitätskontrolle aus dem Register nach § 40a der Wirtschaftsprüferordnung gelöscht werden soll.</w:t>
      </w:r>
    </w:p>
    <w:p>
      <w:r>
        <w:rPr>
          <w:color w:val="555555"/>
          <w:sz w:val="17"/>
        </w:rPr>
        <w:t xml:space="preserve">Zitiervorschlag: § 63g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https://recht.nulegal.eu/gesetze/GenG/63g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