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63a GenG — Verleihung des Prüfungsrechts</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Dem Antrag auf Verleihung des Prüfungsrechts darf nur stattgegeben werden, wenn der Verband die Gewähr für die Erfüllung der von ihm zu übernehmenden Aufgaben bietet.</w:t>
      </w:r>
    </w:p>
    <w:p>
      <w:r>
        <w:t xml:space="preserve">(2) Die Aufsichtsbehörde kann die Verleihung des Prüfungsrechts von der Erfüllung von Auflagen und insbesondere davon abhängig machen, dass der Verband sich gegen Schadensersatzansprüche aus der Prüfungstätigkeit in ausreichender Höhe versichert oder den Nachweis führt, dass eine andere ausreichende Sicherstellung erfolgt ist.</w:t>
      </w:r>
    </w:p>
    <w:p>
      <w:r>
        <w:rPr>
          <w:color w:val="555555"/>
          <w:sz w:val="17"/>
        </w:rPr>
        <w:t xml:space="preserve">Zitiervorschlag: § 63a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