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GenG — Einberufungsrecht des Prüfungsverbandes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(1) Gewinnt der Verband die Überzeugung, dass die Beratung und mögliche Beschlussfassung über den Prüfungsbericht ungebührlich verzögert wird oder dass die Generalversammlung bei der Beratung und möglichen Beschlussfassung unzulänglich über wesentliche Feststellungen oder Beanstandungen des Prüfungsberichts unterrichtet war, so ist er berechtigt, eine außerordentliche Generalversammlung der Genossenschaft auf deren Kosten zu berufen und zu bestimmen, über welche Gegenstände zwecks Beseitigung festgestellter Mängel verhandelt und beschlossen werden soll.</w:t>
      </w:r>
    </w:p>
    <w:p>
      <w:r>
        <w:t xml:space="preserve">(2) In der von dem Verband einberufenen Generalversammlung führt eine vom Verband bestimmte Person den Vorsitz.</w:t>
      </w:r>
    </w:p>
    <w:p>
      <w:r>
        <w:rPr>
          <w:color w:val="555555"/>
          <w:sz w:val="17"/>
        </w:rPr>
        <w:t xml:space="preserve">Zitiervorschlag: § 60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