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GenG — Befassung der Generalversammlung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Vorstand hat den Prüfungsbericht bei der Einberufung der nächsten Generalversammlung als Gegenstand der Beratung und möglichen Beschlussfassung anzukündigen. Jedes Mitglied hat das Recht, Einsicht in das zusammengefasste Ergebnis des Prüfungsberichts zu nehmen.</w:t>
      </w:r>
    </w:p>
    <w:p>
      <w:r>
        <w:t xml:space="preserve">(2) In der Generalversammlung hat sich der Aufsichtsrat über wesentliche Feststellungen oder Beanstandungen der Prüfung zu erklären.</w:t>
      </w:r>
    </w:p>
    <w:p>
      <w:r>
        <w:t xml:space="preserve">(3) Der Verband ist berechtigt, an der Generalversammlung beratend teilzunehmen; auf seinen Antrag oder auf Beschluss der Generalversammlung ist der Bericht ganz oder in bestimmten Teilen zu verlesen.</w:t>
      </w:r>
    </w:p>
    <w:p>
      <w:r>
        <w:rPr>
          <w:color w:val="555555"/>
          <w:sz w:val="17"/>
        </w:rPr>
        <w:t xml:space="preserve">Zitiervorschlag: § 59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