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54a GenG — Wechsel des Prüfungsverbandes</w:t>
      </w:r>
    </w:p>
    <w:p>
      <w:r>
        <w:rPr>
          <w:color w:val="555555"/>
          <w:sz w:val="18"/>
        </w:rPr>
        <w:t xml:space="preserve">Genossenschaftsgesetz</w:t>
      </w:r>
    </w:p>
    <w:p>
      <w:r>
        <w:rPr>
          <w:color w:val="555555"/>
          <w:sz w:val="18"/>
        </w:rPr>
        <w:t xml:space="preserve">Stand: 10.06.2019 (konsolidierte Textfassung, kein amtliches Inkrafttretensdatum)</w:t>
      </w:r>
    </w:p>
    <w:p>
      <w:r>
        <w:t xml:space="preserve">(1) Scheidet eine Genossenschaft aus dem Verband aus, so hat der Verband das Registergericht unverzüglich zu benachrichtigen. Das Registergericht hat eine Frist zu bestimmen, innerhalb derer die Genossenschaft die Mitgliedschaft bei einem Verband zu erwerben hat. Die Artikel 16 und 19 der Verordnung (EU) Nr. 537/2014 finden keine Anwendung.</w:t>
      </w:r>
    </w:p>
    <w:p>
      <w:r>
        <w:t xml:space="preserve">(2) Weist die Genossenschaft nicht innerhalb der gesetzten Frist dem Registergericht nach, dass sie die Mitgliedschaft erworben hat, so hat das Registergericht von Amts wegen nach Anhörung des Vorstands die Auflösung der Genossenschaft auszusprechen. § 80 Abs. 2 findet Anwendung.</w:t>
      </w:r>
    </w:p>
    <w:p>
      <w:r>
        <w:rPr>
          <w:color w:val="555555"/>
          <w:sz w:val="17"/>
        </w:rPr>
        <w:t xml:space="preserve">Zitiervorschlag: § 54a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https://recht.nulegal.eu/gesetze/GenG/54a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