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GenG — Pflichtprüfung</w:t>
      </w:r>
    </w:p>
    <w:p>
      <w:r>
        <w:rPr>
          <w:color w:val="555555"/>
          <w:sz w:val="18"/>
        </w:rPr>
        <w:t xml:space="preserve">Genossenschaftsgesetz</w:t>
      </w:r>
    </w:p>
    <w:p>
      <w:r>
        <w:rPr>
          <w:color w:val="555555"/>
          <w:sz w:val="18"/>
        </w:rPr>
        <w:t xml:space="preserve">Stand: 01.07.2021 (konsolidierte Textfassung, kein amtliches Inkrafttretensdatum)</w:t>
      </w:r>
    </w:p>
    <w:p>
      <w:r>
        <w:t xml:space="preserve">(1) Zwecks Feststellung der wirtschaftlichen Verhältnisse und der Ordnungsmäßigkeit der Geschäftsführung sind die Einrichtungen, die Vermögenslage sowie die Geschäftsführung der Genossenschaft mindestens in jedem zweiten Geschäftsjahr zu prüfen. Bei Genossenschaften, deren Bilanzsumme 2 Millionen Euro übersteigt, muss die Prüfung in jedem Geschäftsjahr stattfinden.</w:t>
      </w:r>
    </w:p>
    <w:p>
      <w:r>
        <w:t xml:space="preserve">(2) Im Rahmen der Prüfung nach Absatz 1 ist bei Genossenschaften, deren Bilanzsumme 1,5 Millionen Euro und deren Umsatzerlöse 3 Millionen Euro übersteigen, der Jahresabschluss unter Einbeziehung der Buchführung und des Lageberichts zu prüfen. § 316 Absatz 3 Satz 1 und 2, § 317 Abs. 1 Satz 2 und 3, Abs. 2 des Handelsgesetzbuchs sind entsprechend anzuwenden; Artikel 17 der Verordnung (EU) Nr. 537/2014 findet keine Anwendung. Bei der Prüfung großer Genossenschaften im Sinn des § 58 Abs. 2 ist § 317 Abs. 5 und 6 des Handelsgesetzbuchs entsprechend anzuwenden.</w:t>
      </w:r>
    </w:p>
    <w:p>
      <w:r>
        <w:t xml:space="preserve">(3) Für Genossenschaften, die Unternehmen von öffentlichem Interesse nach § 316a Satz 2 Nummer 1 oder 2 des Handelsgesetzbuchs sind und keinen Aufsichtsrat haben, gilt § 324 Absatz 1 und 2 des Handelsgesetzbuchs entsprechend mit der Maßgabe, dass mindestens ein Mitglied über Sachverstand auf den Gebieten Rechnungslegung oder Abschlussprüfung verfügen muss.</w:t>
      </w:r>
    </w:p>
    <w:p>
      <w:r>
        <w:t xml:space="preserve">(4) Bei der Prüfung einer Genossenschaft, die als Inlandsemittent (§ 2 Absatz 14 des Wertpapierhandelsgesetzes) Wertpapiere (§ 2 Absatz 1 des Wertpapierhandelsgesetzes), aber nicht ausschließlich die von § 327a erfassten Schuldtitel, begibt, sind § 316 Absatz 3 Satz 3, § 317 Absatz 3a Satz 1, § 320 Absatz 1 Satz 3 und § 322 Absatz 1 Satz 4 des Handelsgesetzbuchs entsprechend anzuwenden.</w:t>
      </w:r>
    </w:p>
    <w:p>
      <w:r>
        <w:rPr>
          <w:color w:val="555555"/>
          <w:sz w:val="17"/>
        </w:rPr>
        <w:t xml:space="preserve">Zitiervorschlag: § 53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