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GenG — Einberufung der Generalversammlung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Generalversammlung wird durch den Vorstand einberufen, soweit nicht nach der Satzung oder diesem Gesetz auch andere Personen dazu befugt sind.</w:t>
      </w:r>
    </w:p>
    <w:p>
      <w:r>
        <w:t xml:space="preserve">(2) Eine Generalversammlung ist außer in den in der Satzung oder diesem Gesetz ausdrücklich bestimmten Fällen einzuberufen, wenn dies im Interesse der Genossenschaft erforderlich erscheint.</w:t>
      </w:r>
    </w:p>
    <w:p>
      <w:r>
        <w:rPr>
          <w:color w:val="555555"/>
          <w:sz w:val="17"/>
        </w:rPr>
        <w:t xml:space="preserve">Zitiervorschlag: § 44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