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42 GenG — Prokura; Handlungsvollmacht</w:t>
      </w:r>
    </w:p>
    <w:p>
      <w:r>
        <w:rPr>
          <w:color w:val="555555"/>
          <w:sz w:val="18"/>
        </w:rPr>
        <w:t xml:space="preserve">Genossenschaftsgesetz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Die Genossenschaft kann Prokura nach Maßgabe der §§ 48 bis 53 des Handelsgesetzbuchs erteilen. An die Stelle der Eintragung in das Handelsregister tritt die Eintragung in das Genossenschaftsregister. § 29 gilt entsprechend.</w:t>
      </w:r>
    </w:p>
    <w:p>
      <w:r>
        <w:t xml:space="preserve">(2) Die Genossenschaft kann auch Handlungsvollmacht erteilen. § 54 des Handelsgesetzbuchs ist anzuwenden.</w:t>
      </w:r>
    </w:p>
    <w:p>
      <w:r>
        <w:rPr>
          <w:color w:val="555555"/>
          <w:sz w:val="17"/>
        </w:rPr>
        <w:t xml:space="preserve">Zitiervorschlag: § 42 GenG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https://recht.nulegal.eu/gesetze/GenG/42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