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GenG — Vorläufige Amtsenthebung von Vorstandsmitgliedern</w:t>
      </w:r>
    </w:p>
    <w:p>
      <w:r>
        <w:rPr>
          <w:color w:val="555555"/>
          <w:sz w:val="18"/>
        </w:rPr>
        <w:t xml:space="preserve">Genossenschaftsgesetz</w:t>
      </w:r>
    </w:p>
    <w:p>
      <w:r>
        <w:rPr>
          <w:color w:val="555555"/>
          <w:sz w:val="18"/>
        </w:rPr>
        <w:t xml:space="preserve">Stand: 10.06.2019 (konsolidierte Textfassung, kein amtliches Inkrafttretensdatum)</w:t>
      </w:r>
    </w:p>
    <w:p>
      <w:r>
        <w:t xml:space="preserve">Der Aufsichtsrat ist befugt, nach seinem Ermessen von der Generalversammlung abzuberufende Mitglieder des Vorstands vorläufig, bis zur Entscheidung der unverzüglich einzuberufenden Generalversammlung, von ihren Geschäften zu entheben und wegen einstweiliger Fortführung derselben das Erforderliche zu veranlassen.</w:t>
      </w:r>
    </w:p>
    <w:p>
      <w:r>
        <w:rPr>
          <w:color w:val="555555"/>
          <w:sz w:val="17"/>
        </w:rPr>
        <w:t xml:space="preserve">Zitiervorschlag: § 40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