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GenG — Unvereinbarkeit von Ämtern</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Mitglieder des Aufsichtsrats dürfen nicht zugleich Vorstandsmitglieder, dauernde Stellvertreter der Vorstandsmitglieder, Prokuristen oder zum Betrieb des gesamten Geschäfts ermächtigte Handlungsbevollmächtigte der Genossenschaft sein. Der Aufsichtsrat kann einzelne seiner Mitglieder für einen im Voraus begrenzten Zeitraum zu Stellvertretern verhinderter Vorstandsmitglieder bestellen; während dieses Zeitraums und bis zur Erteilung der Entlastung als stellvertretendes Vorstandsmitglied darf dieses Mitglied seine Tätigkeit als Aufsichtsratsmitglied nicht ausüben.</w:t>
      </w:r>
    </w:p>
    <w:p>
      <w:r>
        <w:t xml:space="preserve">(2) Scheiden aus dem Vorstand Mitglieder aus, so dürfen dieselben nicht vor erteilter Entlastung in den Aufsichtsrat gewählt werden.</w:t>
      </w:r>
    </w:p>
    <w:p>
      <w:r>
        <w:rPr>
          <w:color w:val="555555"/>
          <w:sz w:val="17"/>
        </w:rPr>
        <w:t xml:space="preserve">Zitiervorschlag: § 37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