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GenG — Einsicht in die Mitgliederliste</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Mitgliederliste kann von jedem Mitglied sowie von einem Dritten, der ein berechtigtes Interesse darlegt, bei der Genossenschaft eingesehen werden. Abschriften aus der Mitgliederliste sind dem Mitglied hinsichtlich der ihn betreffenden Eintragungen auf Verlangen zu erteilen.</w:t>
      </w:r>
    </w:p>
    <w:p>
      <w:r>
        <w:t xml:space="preserve">(2) Der Dritte darf die übermittelten Daten nur für den Zweck speichern und nutzen, zu dessen Erfüllung sie ihm übermittelt werden; eine Speicherung und Nutzung für andere Zwecke ist nur zulässig, soweit die Daten auch dafür hätten übermittelt werden dürfen. Ist der Empfänger eine nicht öffentliche Stelle, hat die Genossenschaft ihn darauf hinzuweisen; eine Speicherung und Nutzung für andere Zwecke bedarf in diesem Fall der Zustimmung der Genossenschaft.</w:t>
      </w:r>
    </w:p>
    <w:p>
      <w:r>
        <w:rPr>
          <w:color w:val="555555"/>
          <w:sz w:val="17"/>
        </w:rPr>
        <w:t xml:space="preserve">Zitiervorschlag: § 31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