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GenG — Vorstand</w:t>
      </w:r>
    </w:p>
    <w:p>
      <w:r>
        <w:rPr>
          <w:color w:val="555555"/>
          <w:sz w:val="18"/>
        </w:rPr>
        <w:t xml:space="preserve">Genossenschaftsgesetz</w:t>
      </w:r>
    </w:p>
    <w:p>
      <w:r>
        <w:rPr>
          <w:color w:val="555555"/>
          <w:sz w:val="18"/>
        </w:rPr>
        <w:t xml:space="preserve">Stand: 10.06.2019 (konsolidierte Textfassung, kein amtliches Inkrafttretensdatum)</w:t>
      </w:r>
    </w:p>
    <w:p>
      <w:r>
        <w:t xml:space="preserve">(1) Die Genossenschaft wird durch den Vorstand gerichtlich und außergerichtlich vertreten. Hat eine Genossenschaft keinen Vorstand (Führungslosigkeit), wird die Genossenschaft für den Fall, dass ihr gegenüber Willenserklärungen abgegeben oder Schriftstücke zugestellt werden, durch den Aufsichtsrat vertreten.</w:t>
      </w:r>
    </w:p>
    <w:p>
      <w:r>
        <w:t xml:space="preserve">(2) Der Vorstand besteht aus zwei Personen und wird von der Generalversammlung gewählt und abberufen. Die Satzung kann eine höhere Personenzahl sowie eine andere Art der Bestellung und Abberufung bestimmen. Bei Genossenschaften mit nicht mehr als 20 Mitgliedern kann die Satzung bestimmen, dass der Vorstand aus einer Person besteht.</w:t>
      </w:r>
    </w:p>
    <w:p>
      <w:r>
        <w:t xml:space="preserve">(3) Die Mitglieder des Vorstands können besoldet oder unbesoldet sein. Ihre Bestellung ist zu jeder Zeit widerruflich, unbeschadet der Entschädigungsansprüche aus bestehenden Verträgen.</w:t>
      </w:r>
    </w:p>
    <w:p>
      <w:r>
        <w:rPr>
          <w:color w:val="555555"/>
          <w:sz w:val="17"/>
        </w:rPr>
        <w:t xml:space="preserve">Zitiervorschlag: § 24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