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GenG — Haftung der Mitglieder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Verbindlichkeiten der Genossenschaft haften die Mitglieder nach Maßgabe dieses Gesetzes.</w:t>
      </w:r>
    </w:p>
    <w:p>
      <w:r>
        <w:t xml:space="preserve">(2) Wer in die Genossenschaft eintritt, haftet auch für die vor seinem Eintritt eingegangenen Verbindlichkeiten.</w:t>
      </w:r>
    </w:p>
    <w:p>
      <w:r>
        <w:t xml:space="preserve">(3) Vereinbarungen, die gegen die vorstehenden Absätze verstoßen, sind unwirksam.</w:t>
      </w:r>
    </w:p>
    <w:p>
      <w:r>
        <w:rPr>
          <w:color w:val="555555"/>
          <w:sz w:val="17"/>
        </w:rPr>
        <w:t xml:space="preserve">Zitiervorschlag: § 23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