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22b GenG — Zerlegung des Geschäftsanteils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Geschäftsanteil kann in mehrere Geschäftsanteile zerlegt werden. Die Zerlegung und eine ihr entsprechende Herabsetzung der Einzahlungen gelten nicht als Herabsetzung des Geschäftsanteils oder der Einzahlungen.</w:t>
      </w:r>
    </w:p>
    <w:p>
      <w:r>
        <w:t xml:space="preserve">(2) Mit der Eintragung des Beschlusses über die Zerlegung des Geschäftsanteils sind die Mitglieder mit der Zahl von Geschäftsanteilen beteiligt, die sich aus der Zerlegung ergibt. § 15b Abs. 3 ist nicht anzuwenden. Die Mitgliederliste ist unverzüglich zu berichtigen.</w:t>
      </w:r>
    </w:p>
    <w:p>
      <w:r>
        <w:rPr>
          <w:color w:val="555555"/>
          <w:sz w:val="17"/>
        </w:rPr>
        <w:t xml:space="preserve">Zitiervorschlag: § 22b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https://recht.nulegal.eu/gesetze/GenG/22b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