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GenG — Nachschusspflicht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Verpflichtung der Mitglieder, Nachschüsse zur Insolvenzmasse zu leisten, auf eine Haftsumme beschränkt oder aufgehoben, so gilt § 22 Abs. 1 bis 3 sinngemäß.</w:t>
      </w:r>
    </w:p>
    <w:p>
      <w:r>
        <w:t xml:space="preserve">(2) Die Einführung oder Erweiterung der Verpflichtung zur Leistung von Nachschüssen wirkt nicht gegenüber Mitgliedern, die bei Wirksamwerden der Änderung der Satzung bereits aus der Genossenschaft ausgeschieden waren.</w:t>
      </w:r>
    </w:p>
    <w:p>
      <w:r>
        <w:rPr>
          <w:color w:val="555555"/>
          <w:sz w:val="17"/>
        </w:rPr>
        <w:t xml:space="preserve">Zitiervorschlag: § 22a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