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GenG — Herabsetzung des Geschäftsanteils; Verbot der Auszahlung des Geschäftsguthabens</w:t>
      </w:r>
    </w:p>
    <w:p>
      <w:r>
        <w:rPr>
          <w:color w:val="555555"/>
          <w:sz w:val="18"/>
        </w:rPr>
        <w:t xml:space="preserve">Genossenschaftsgesetz</w:t>
      </w:r>
    </w:p>
    <w:p>
      <w:r>
        <w:rPr>
          <w:color w:val="555555"/>
          <w:sz w:val="18"/>
        </w:rPr>
        <w:t xml:space="preserve">Stand: 01.08.2022 (konsolidierte Textfassung, kein amtliches Inkrafttretensdatum)</w:t>
      </w:r>
    </w:p>
    <w:p>
      <w:r>
        <w:t xml:space="preserve">(1) Werden der Geschäftsanteil oder die auf ihn zu leistenden Einzahlungen herabgesetzt oder die für die Einzahlungen festgesetzten Fristen verlängert, so ist der wesentliche Inhalt des Beschlusses der Generalversammlung durch das Gericht in einer Bekanntmachung zu der Eintragung in das Genossenschaftsregister anzugeben.</w:t>
      </w:r>
    </w:p>
    <w:p>
      <w:r>
        <w:t xml:space="preserve">(2) Den Gläubigern der Genossenschaft ist, wenn sie sich binnen sechs Monaten nach der Bekanntmachung bei der Genossenschaft zu diesem Zweck melden, Sicherheit zu leisten, soweit sie nicht Befriedigung verlangen können. In der Bekanntmachung ist darauf hinzuweisen. Das Recht, Sicherheitsleistung zu verlangen, steht Gläubigern nicht zu, die im Fall der Insolvenz ein Recht auf vorzugsweise Befriedigung aus einer Deckungsmasse haben, die nach gesetzlicher Vorschrift zu ihrem Schutz errichtet und staatlich überwacht ist.</w:t>
      </w:r>
    </w:p>
    <w:p>
      <w:r>
        <w:t xml:space="preserve">(3) Mitglieder, die zur Zeit der Eintragung des Beschlusses der Genossenschaft angehörten, können sich auf die Änderung erst berufen, wenn die Bekanntmachung erfolgt ist und die Gläubiger, die sich rechtzeitig gemeldet haben, wegen der erhobenen Ansprüche befriedigt oder sichergestellt sind.</w:t>
      </w:r>
    </w:p>
    <w:p>
      <w:r>
        <w:t xml:space="preserve">(4) Das Geschäftsguthaben eines Mitglieds darf, solange es nicht ausgeschieden ist, von der Genossenschaft nicht ausgezahlt oder im geschäftlichen Betrieb zum Pfand genommen, eine geschuldete Einzahlung darf nicht erlassen werden. Die Genossenschaft darf den Mitgliedern keinen Kredit zum Zweck der Leistung von Einzahlungen auf den Geschäftsanteil gewähren.</w:t>
      </w:r>
    </w:p>
    <w:p>
      <w:r>
        <w:t xml:space="preserve">(5) Gegen eine geschuldete Einzahlung kann das Mitglied nicht aufrechnen.</w:t>
      </w:r>
    </w:p>
    <w:p>
      <w:r>
        <w:t xml:space="preserve">(6) Der Anspruch der Genossenschaft auf Leistung von Einzahlungen auf den Geschäftsanteil verjährt in zehn Jahren von seiner Entstehung an. Wird das Insolvenzverfahren über das Vermögen der Genossenschaft eröffnet, so tritt die Verjährung nicht vor Ablauf von sechs Monaten ab dem Zeitpunkt der Eröffnung ein.</w:t>
      </w:r>
    </w:p>
    <w:p>
      <w:r>
        <w:rPr>
          <w:color w:val="555555"/>
          <w:sz w:val="17"/>
        </w:rPr>
        <w:t xml:space="preserve">Zitiervorschlag: § 22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