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21a GenG — Ausnahmen vom Verbot der Verzinsung</w:t>
      </w:r>
    </w:p>
    <w:p>
      <w:r>
        <w:rPr>
          <w:color w:val="555555"/>
          <w:sz w:val="18"/>
        </w:rPr>
        <w:t xml:space="preserve">Genossenschaftsgesetz</w:t>
      </w:r>
    </w:p>
    <w:p>
      <w:r>
        <w:rPr>
          <w:color w:val="555555"/>
          <w:sz w:val="18"/>
        </w:rPr>
        <w:t xml:space="preserve">Stand: 10.06.2019 (konsolidierte Textfassung, kein amtliches Inkrafttretensdatum)</w:t>
      </w:r>
    </w:p>
    <w:p>
      <w:r>
        <w:t xml:space="preserve">(1) Die Satzung kann bestimmen, dass die Geschäftsguthaben verzinst werden. Bestimmt die Satzung keinen festen Zinssatz, muss sie einen Mindestzinssatz festsetzen. Die Zinsen berechnen sich nach dem Stand der Geschäftsguthaben am Schluss des vorhergegangenen Geschäftsjahres. Sie sind spätestens sechs Monate nach Schluss des Geschäftsjahres auszuzahlen, für das sie gewährt werden.</w:t>
      </w:r>
    </w:p>
    <w:p>
      <w:r>
        <w:t xml:space="preserve">(2) Ist in der Bilanz der Genossenschaft für ein Geschäftsjahr ein Jahresfehlbetrag oder ein Verlustvortrag ausgewiesen, der ganz oder teilweise durch die Ergebnisrücklagen, einen Jahresüberschuss und einen Gewinnvortrag nicht gedeckt ist, so dürfen in Höhe des nicht gedeckten Betrags Zinsen für dieses Geschäftsjahr nicht gezahlt werden.</w:t>
      </w:r>
    </w:p>
    <w:p>
      <w:r>
        <w:rPr>
          <w:color w:val="555555"/>
          <w:sz w:val="17"/>
        </w:rPr>
        <w:t xml:space="preserve">Zitiervorschlag: § 21a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https://recht.nulegal.eu/gesetze/GenG/21a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