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GenG — Gewinn- und Verlustverteilung</w:t>
      </w:r>
    </w:p>
    <w:p>
      <w:r>
        <w:rPr>
          <w:color w:val="555555"/>
          <w:sz w:val="18"/>
        </w:rPr>
        <w:t xml:space="preserve">Genossenschaftsgesetz</w:t>
      </w:r>
    </w:p>
    <w:p>
      <w:r>
        <w:rPr>
          <w:color w:val="555555"/>
          <w:sz w:val="18"/>
        </w:rPr>
        <w:t xml:space="preserve">Stand: 10.06.2019 (konsolidierte Textfassung, kein amtliches Inkrafttretensdatum)</w:t>
      </w:r>
    </w:p>
    <w:p>
      <w:r>
        <w:t xml:space="preserve">(1) Der bei Feststellung des Jahresabschlusses für die Mitglieder sich ergebende Gewinn oder Verlust des Geschäftsjahres ist auf diese zu verteilen. Die Verteilung geschieht für das erste Geschäftsjahr nach dem Verhältnis ihrer auf den Geschäftsanteil geleisteten Einzahlungen, für jedes folgende nach dem Verhältnis ihrer durch die Zuschreibung von Gewinn oder die Abschreibung von Verlust zum Schluss des vorhergegangenen Geschäftsjahres ermittelten Geschäftsguthaben. Die Zuschreibung des Gewinns erfolgt so lange, als nicht der Geschäftsanteil erreicht ist.</w:t>
      </w:r>
    </w:p>
    <w:p>
      <w:r>
        <w:t xml:space="preserve">(2) Die Satzung kann einen anderen Maßstab für die Verteilung von Gewinn und Verlust aufstellen und bestimmen, inwieweit der Gewinn vor Erreichung des Geschäftsanteils an die Mitglieder auszuzahlen ist. Bis zur Wiederergänzung eines durch Verlust verminderten Guthabens findet eine Auszahlung des Gewinns nicht statt.</w:t>
      </w:r>
    </w:p>
    <w:p>
      <w:r>
        <w:rPr>
          <w:color w:val="555555"/>
          <w:sz w:val="17"/>
        </w:rPr>
        <w:t xml:space="preserve">Zitiervorschlag: § 19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