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172 GenG — Übergangsvorschrift zum Gesetz zur weiteren Umsetzung der Transparenzrichtlinie-Änderungsrichtlinie im Hinblick auf ein einheitliches elektronisches Format für Jahresfinanzberichte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20.08.2020 (konsolidierte Textfassung, kein amtliches Inkrafttretensdatum)</w:t>
      </w:r>
    </w:p>
    <w:p>
      <w:r>
        <w:t xml:space="preserve">§ 53 in der ab dem 19. August 2020 geltenden Fassung ist erstmals auf Jahresabschlüsse und Lageberichte für das nach dem 31. Dezember 2019 beginnende Geschäftsjahr anzuwenden.</w:t>
      </w:r>
    </w:p>
    <w:p>
      <w:r>
        <w:rPr>
          <w:color w:val="555555"/>
          <w:sz w:val="17"/>
        </w:rPr>
        <w:t xml:space="preserve">Zitiervorschlag: § 172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