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GenG — Juristische Person; Formkaufmann</w:t>
      </w:r>
    </w:p>
    <w:p>
      <w:r>
        <w:rPr>
          <w:color w:val="555555"/>
          <w:sz w:val="18"/>
        </w:rPr>
        <w:t xml:space="preserve">Genossenschaftsgesetz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eingetragene Genossenschaft als solche hat selbständig ihre Rechte und Pflichten; sie kann Eigentum und andere dingliche Rechte an Grundstücken erwerben, vor Gericht klagen und verklagt werden.</w:t>
      </w:r>
    </w:p>
    <w:p>
      <w:r>
        <w:t xml:space="preserve">(2) Genossenschaften gelten als Kaufleute im Sinne des Handelsgesetzbuchs.</w:t>
      </w:r>
    </w:p>
    <w:p>
      <w:r>
        <w:rPr>
          <w:color w:val="555555"/>
          <w:sz w:val="17"/>
        </w:rPr>
        <w:t xml:space="preserve">Zitiervorschlag: § 17 GenG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