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GenG — Übergangsvorschrift zum Bilanzrechtsmodernisierungsgesetz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36 Abs. 4 und § 38 Abs. 1a Satz 2 in der Fassung des Bilanzrechtsmodernisierungsgesetzes vom 25. Mai 2009 (BGBl. I S. 1102) finden keine Anwendung, solange alle Mitglieder des Aufsichtsrats und des Prüfungsausschusses vor dem 29. Mai 2009 bestellt worden sind.</w:t>
      </w:r>
    </w:p>
    <w:p>
      <w:r>
        <w:t xml:space="preserve">(2) § 53 Abs. 3 in der Fassung des Bilanzrechtsmodernisierungsgesetzes vom 25. Mai 2009 (BGBl. I S. 1102) ist erstmals ab dem 1. Januar 2010 anzuwenden.</w:t>
      </w:r>
    </w:p>
    <w:p>
      <w:r>
        <w:rPr>
          <w:color w:val="555555"/>
          <w:sz w:val="17"/>
        </w:rPr>
        <w:t xml:space="preserve">Zitiervorschlag: § 167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