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 GenG — Bußgeldvorschriften</w:t>
      </w:r>
    </w:p>
    <w:p>
      <w:r>
        <w:rPr>
          <w:color w:val="555555"/>
          <w:sz w:val="18"/>
        </w:rPr>
        <w:t xml:space="preserve">Genossenschaftsgesetz</w:t>
      </w:r>
    </w:p>
    <w:p>
      <w:r>
        <w:rPr>
          <w:color w:val="555555"/>
          <w:sz w:val="18"/>
        </w:rPr>
        <w:t xml:space="preserve">Stand: 01.07.2021 (konsolidierte Textfassung, kein amtliches Inkrafttretensdatum)</w:t>
      </w:r>
    </w:p>
    <w:p>
      <w:r>
        <w:t xml:space="preserve">(1) Ordnungswidrig handelt, wer</w:t>
      </w:r>
    </w:p>
    <w:p>
      <w:pPr>
        <w:ind w:left="420"/>
      </w:pPr>
      <w:r>
        <w:t xml:space="preserve">1. besondere Vorteile als Gegenleistung dafür fordert, sich versprechen lässt oder annimmt, dass er bei einer Abstimmung in der Generalversammlung oder der Vertreterversammlung oder bei der Wahl der Vertreter nicht oder in einem bestimmten Sinne stimme oder</w:t>
      </w:r>
    </w:p>
    <w:p>
      <w:pPr>
        <w:ind w:left="420"/>
      </w:pPr>
      <w:r>
        <w:t xml:space="preserve">2. besondere Vorteile als Gegenleistung dafür anbietet, verspricht oder gewährt, dass jemand bei einer Abstimmung in der Generalversammlung oder der Vertreterversammlung oder bei der Wahl der Vertreter nicht oder in einem bestimmten Sinne stimme.</w:t>
      </w:r>
    </w:p>
    <w:p>
      <w:r>
        <w:t xml:space="preserve">(1a) Ordnungswidrig handelt, wer als Mitglied des Aufsichtsrats oder als Mitglied eines Prüfungsausschusses einer Genossenschaft, die ein Unternehmen von öffentlichem Interesse nach § 316a Satz 2 Nummer 1 oder 2 des Handelsgesetzbuchs ist, die Unabhängigkeit der in § 55 Absatz 2 Satz 1 genannten Vertreter und Personen nicht nach Maßgabe des Artikels 5 Absatz 4 Unterabsatz 1 Satz 1 der Verordnung (EU) Nr. 537/2014 des Europäischen Parlaments und des Rates vom 16. April 2014 über spezifische Anforderungen an die Abschlussprüfung bei Unternehmen von öffentlichem Interesse und zur Aufhebung des Beschlusses 2005/909/EG der Kommission (ABl. L 158 vom 27.5.2014, S. 77, L 170 vom 11.6.2014, S. 66) in Verbindung mit § 55 Absatz 2 Satz 5 oder nach Maßgabe des Artikels 6 Absatz 2 der Verordnung (EU) Nr. 537/2014 in Verbindung mit § 38 Absatz 1a Satz 4 überwacht.</w:t>
      </w:r>
    </w:p>
    <w:p>
      <w:r>
        <w:t xml:space="preserve">(2) Die Ordnungswidrigkeit kann in den Fällen des Absatzes 1a mit einer Geldbuße bis zu fünfhunderttausend Euro, in den übrigen Fällen mit einer Geldbuße bis zu zehntausend Euro geahndet werden.</w:t>
      </w:r>
    </w:p>
    <w:p>
      <w:r>
        <w:t xml:space="preserve">(3) Verwaltungsbehörde im Sinne des § 36 Absatz 1 Nummer 1 des Gesetzes über Ordnungswidrigkeiten ist in den Fällen des Absatzes 1a bei einer Genossenschaft, die ein Unternehmen von öffentlichem Interesse nach § 316a Satz 2 Nummer 2 des Handelsgesetzbuchs ist, die Bundesanstalt für Finanzdienstleistungsaufsicht, in den übrigen Fällen des Absatzes 1a das Bundesamt für Justiz.</w:t>
      </w:r>
    </w:p>
    <w:p>
      <w:r>
        <w:rPr>
          <w:color w:val="555555"/>
          <w:sz w:val="17"/>
        </w:rPr>
        <w:t xml:space="preserve">Zitiervorschlag: § 152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