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148 GenG — Pflichtverletzung bei Verlust</w:t>
      </w:r>
    </w:p>
    <w:p>
      <w:r>
        <w:rPr>
          <w:color w:val="555555"/>
          <w:sz w:val="18"/>
        </w:rPr>
        <w:t xml:space="preserve">Genossenschaftsgesetz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Mit Freiheitsstrafe bis zu drei Jahren oder mit Geldstrafe wird bestraft, wer entgegen § 33 Abs. 3 die Generalversammlung nicht oder nicht rechtzeitig einberuft oder eine Anzeige nicht, nicht richtig, nicht vollständig oder nicht rechtzeitig erstattet.</w:t>
      </w:r>
    </w:p>
    <w:p>
      <w:r>
        <w:t xml:space="preserve">(2) Handelt der Täter fahrlässig, ist die Strafe Freiheitsstrafe bis zu einem Jahr oder Geldstrafe.</w:t>
      </w:r>
    </w:p>
    <w:p>
      <w:r>
        <w:rPr>
          <w:color w:val="555555"/>
          <w:sz w:val="17"/>
        </w:rPr>
        <w:t xml:space="preserve">Zitiervorschlag: § 148 GenG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https://recht.nulegal.eu/gesetze/GenG/148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