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GenG — Errichtung einer Zweigniederlassung</w:t>
      </w:r>
    </w:p>
    <w:p>
      <w:r>
        <w:rPr>
          <w:color w:val="555555"/>
          <w:sz w:val="18"/>
        </w:rPr>
        <w:t xml:space="preserve">Genossenschaftsgesetz</w:t>
      </w:r>
    </w:p>
    <w:p>
      <w:r>
        <w:rPr>
          <w:color w:val="555555"/>
          <w:sz w:val="18"/>
        </w:rPr>
        <w:t xml:space="preserve">Stand: 10.06.2019 (konsolidierte Textfassung, kein amtliches Inkrafttretensdatum)</w:t>
      </w:r>
    </w:p>
    <w:p>
      <w:r>
        <w:t xml:space="preserve">(1) Die Errichtung einer Zweigniederlassung ist vom Vorstand beim Gericht des Sitzes der Genossenschaft unter Angabe des Ortes der Zweigniederlassung und eines Zusatzes, falls der Firma der Zweigniederlassung ein solcher beigefügt wird, zur Eintragung in das Genossenschaftsregister anzumelden. In gleicher Weise sind spätere Änderungen der die Zweigniederlassung betreffenden einzutragenden Tatsachen anzumelden.</w:t>
      </w:r>
    </w:p>
    <w:p>
      <w:r>
        <w:t xml:space="preserve">(2) Das zuständige Gericht trägt die Zweigniederlassung auf dem Registerblatt des Sitzes unter Angabe des Ortes der Zweigniederlassung und des Zusatzes, falls der Firma der Zweigniederlassung ein solcher beigefügt ist, ein, es sei denn, die Zweigniederlassung ist offensichtlich nicht errichtet worden.</w:t>
      </w:r>
    </w:p>
    <w:p>
      <w:r>
        <w:t xml:space="preserve">(3) Die vorstehenden Vorschriften gelten sinngemäß für die Aufhebung einer Zweigniederlassung.</w:t>
      </w:r>
    </w:p>
    <w:p>
      <w:r>
        <w:rPr>
          <w:color w:val="555555"/>
          <w:sz w:val="17"/>
        </w:rPr>
        <w:t xml:space="preserve">Zitiervorschlag: § 14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