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GenG — Haftsumme bei mehreren Geschäftsanteilen</w:t>
      </w:r>
    </w:p>
    <w:p>
      <w:r>
        <w:rPr>
          <w:color w:val="555555"/>
          <w:sz w:val="18"/>
        </w:rPr>
        <w:t xml:space="preserve">Genossenschaftsgesetz</w:t>
      </w:r>
    </w:p>
    <w:p>
      <w:r>
        <w:rPr>
          <w:color w:val="555555"/>
          <w:sz w:val="18"/>
        </w:rPr>
        <w:t xml:space="preserve">Stand: 10.06.2019 (konsolidierte Textfassung, kein amtliches Inkrafttretensdatum)</w:t>
      </w:r>
    </w:p>
    <w:p>
      <w:r>
        <w:t xml:space="preserve">Ist ein Mitglied mit mehr als einem Geschäftsanteil beteiligt, so erhöht sich die Haftsumme, wenn sie niedriger als der Gesamtbetrag der Geschäftsanteile ist, auf den Gesamtbetrag. Die Satzung kann einen noch höheren Betrag festsetzen. Sie kann auch bestimmen, dass durch die Beteiligung mit weiteren Geschäftsanteilen eine Erhöhung der Haftsumme nicht eintritt.</w:t>
      </w:r>
    </w:p>
    <w:p>
      <w:r>
        <w:rPr>
          <w:color w:val="555555"/>
          <w:sz w:val="17"/>
        </w:rPr>
        <w:t xml:space="preserve">Zitiervorschlag: § 121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