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GenG — Kündigung bei Fortsetzung der Genossenschaft</w:t>
      </w:r>
    </w:p>
    <w:p>
      <w:r>
        <w:rPr>
          <w:color w:val="555555"/>
          <w:sz w:val="18"/>
        </w:rPr>
        <w:t xml:space="preserve">Genossenschaftsgesetz</w:t>
      </w:r>
    </w:p>
    <w:p>
      <w:r>
        <w:rPr>
          <w:color w:val="555555"/>
          <w:sz w:val="18"/>
        </w:rPr>
        <w:t xml:space="preserve">Stand: 01.01.2025 (konsolidierte Textfassung, kein amtliches Inkrafttretensdatum)</w:t>
      </w:r>
    </w:p>
    <w:p>
      <w:r>
        <w:t xml:space="preserve">(1) Wird die Fortsetzung der Genossenschaft nach § 117 beschlossen, kann kündigen</w:t>
      </w:r>
    </w:p>
    <w:p>
      <w:pPr>
        <w:ind w:left="420"/>
      </w:pPr>
      <w:r>
        <w:t xml:space="preserve">1. jedes in der Generalversammlung erschienene Mitglied, wenn es gegen den Beschluss Widerspruch zur Niederschrift erklärt hat oder wenn die Aufnahme seines Widerspruchs in die Niederschrift verweigert worden ist;</w:t>
      </w:r>
    </w:p>
    <w:p>
      <w:pPr>
        <w:ind w:left="420"/>
      </w:pPr>
      <w:r>
        <w:t xml:space="preserve">2. jedes in der Generalversammlung nicht erschienene Mitglied, wenn es zu der Generalversammlung zu Unrecht nicht zugelassen worden ist oder die Versammlung nicht ordnungsgemäß einberufen oder der Gegenstand der Beschlussfassung nicht ordnungsgemäß angekündigt worden ist.</w:t>
      </w:r>
    </w:p>
    <w:p>
      <w:r>
        <w:t xml:space="preserve">Hat eine Vertreterversammlung die Fortsetzung der Genossenschaft beschlossen, kann jedes Mitglied kündigen; für die Vertreter gilt Satz 1.</w:t>
      </w:r>
    </w:p>
    <w:p>
      <w:r>
        <w:t xml:space="preserve">(2) Die Kündigung bedarf der Textform; die Satzung kann für die Kündigung die Schriftform vorschreiben. Sie kann nur innerhalb eines Monats zum Schluss des Geschäftsjahres erklärt werden. Die Frist beginnt in den Fällen des Absatzes 1 Satz 1 Nr. 1 mit der Beschlussfassung, in den Fällen des Absatzes 1 Satz 1 Nr. 2 mit der Erlangung der Kenntnis von der Beschlussfassung. Ist der Zeitpunkt der Kenntniserlangung streitig, trägt die Genossenschaft die Beweislast. Im Fall der Kündigung wirkt der Beschluss über die Fortsetzung der Genossenschaft weder für noch gegen das Mitglied.</w:t>
      </w:r>
    </w:p>
    <w:p>
      <w:r>
        <w:t xml:space="preserve">(3) Der Zeitpunkt der Beendigung der Mitgliedschaft ist unverzüglich in die Mitgliederliste einzutragen; das Mitglied ist hiervon unverzüglich zu benachrichtigen.</w:t>
      </w:r>
    </w:p>
    <w:p>
      <w:r>
        <w:t xml:space="preserve">(4) Für die Auseinandersetzung des ehemaligen Mitglieds mit der Genossenschaft ist die für die Fortsetzung der Genossenschaft aufgestellte Eröffnungsbilanz maßgeblich. Das Geschäftsguthaben des Mitglieds ist vorbehaltlich des § 8a Abs. 2 und des § 73 Abs. 4 binnen sechs Monaten nach Beendigung der Mitgliedschaft auszuzahlen; auf die Rücklagen und das sonstige Vermögen der Genossenschaft hat es vorbehaltlich des § 73 Abs. 3 keinen Anspruch.</w:t>
      </w:r>
    </w:p>
    <w:p>
      <w:r>
        <w:rPr>
          <w:color w:val="555555"/>
          <w:sz w:val="17"/>
        </w:rPr>
        <w:t xml:space="preserve">Zitiervorschlag: § 118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