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117 GenG — Fortsetzung der Genossenschaft</w:t>
      </w:r>
    </w:p>
    <w:p>
      <w:r>
        <w:rPr>
          <w:color w:val="555555"/>
          <w:sz w:val="18"/>
        </w:rPr>
        <w:t xml:space="preserve">Genossenschaftsgesetz</w:t>
      </w:r>
    </w:p>
    <w:p>
      <w:r>
        <w:rPr>
          <w:color w:val="555555"/>
          <w:sz w:val="18"/>
        </w:rPr>
        <w:t xml:space="preserve">Stand: 10.06.2019 (konsolidierte Textfassung, kein amtliches Inkrafttretensdatum)</w:t>
      </w:r>
    </w:p>
    <w:p>
      <w:r>
        <w:t xml:space="preserve">(1) Ist das Insolvenzverfahren auf Antrag des Schuldners eingestellt oder nach der Bestätigung eines Insolvenzplans, der den Fortbestand der Genossenschaft vorsieht, aufgehoben worden, so kann die Generalversammlung die Fortsetzung der Genossenschaft beschließen. Zugleich mit dem Beschluss über die Fortsetzung der Genossenschaft ist die nach § 6 Nr. 3 notwendige Bestimmung in der Satzung zu beschließen, ob die Mitglieder für den Fall, dass die Gläubiger im Insolvenzverfahren über das Vermögen der Genossenschaft nicht befriedigt werden, Nachschüsse zur Insolvenzmasse unbeschränkt, beschränkt auf eine Haftsumme oder überhaupt nicht zu leisten haben.</w:t>
      </w:r>
    </w:p>
    <w:p>
      <w:r>
        <w:t xml:space="preserve">(2) Die Beschlüsse nach Absatz 1 bedürfen einer Mehrheit, die mindestens drei Viertel der abgegebenen Stimmen umfasst. Die Satzung kann eine größere Mehrheit und weitere Erfordernisse bestimmen. Die Vorschriften des § 79a Abs. 2 bis 4 sind anzuwenden.</w:t>
      </w:r>
    </w:p>
    <w:p>
      <w:r>
        <w:t xml:space="preserve">(3) Die Fortsetzung der Genossenschaft ist zusammen mit dem Beschluss über die Nachschusspflicht der Mitglieder durch den Vorstand unverzüglich zur Eintragung in das Genossenschaftsregister anzumelden.</w:t>
      </w:r>
    </w:p>
    <w:p>
      <w:r>
        <w:rPr>
          <w:color w:val="555555"/>
          <w:sz w:val="17"/>
        </w:rPr>
        <w:t xml:space="preserve">Zitiervorschlag: § 117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