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GenG — Insolvenzplan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Insolvenzordnung über den Insolvenzplan sind mit folgenden Abweichungen anzuwenden:</w:t>
      </w:r>
    </w:p>
    <w:p>
      <w:pPr>
        <w:ind w:left="420"/>
      </w:pPr>
      <w:r>
        <w:t xml:space="preserve">1. Ein Plan wird berücksichtigt, wenn er vor der Beendigung des Nachschussverfahrens beim Insolvenzgericht eingeht;</w:t>
      </w:r>
    </w:p>
    <w:p>
      <w:pPr>
        <w:ind w:left="420"/>
      </w:pPr>
      <w:r>
        <w:t xml:space="preserve">2. im darstellenden Teil des Plans ist anzugeben, in welcher Höhe die Mitglieder bereits Nachschüsse geleistet haben und zu welchen weiteren Nachschüssen sie nach der Satzung herangezogen werden könnten;</w:t>
      </w:r>
    </w:p>
    <w:p>
      <w:pPr>
        <w:ind w:left="420"/>
      </w:pPr>
      <w:r>
        <w:t xml:space="preserve">3. bei der Bildung der Gruppen für die Festlegung der Rechte der Gläubiger im Plan kann zwischen den Gläubigern, die zugleich Mitglieder der Genossenschaft sind, und den übrigen Gläubigern unterschieden werden;</w:t>
      </w:r>
    </w:p>
    <w:p>
      <w:pPr>
        <w:ind w:left="420"/>
      </w:pPr>
      <w:r>
        <w:t xml:space="preserve">4. vor dem Erörterungstermin hat das Insolvenzgericht den Prüfungsverband, dem die Genossenschaft angehört, darüber zu hören, ob der Plan mit den Interessen der Mitglieder vereinbar ist.</w:t>
      </w:r>
    </w:p>
    <w:p>
      <w:r>
        <w:rPr>
          <w:color w:val="555555"/>
          <w:sz w:val="17"/>
        </w:rPr>
        <w:t xml:space="preserve">Zitiervorschlag: § 116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