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115e GenG — Eigenverwaltung</w:t>
      </w:r>
    </w:p>
    <w:p>
      <w:r>
        <w:rPr>
          <w:color w:val="555555"/>
          <w:sz w:val="18"/>
        </w:rPr>
        <w:t xml:space="preserve">Genossenschaftsgesetz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gemäß § 270 oder § 271 der Insolvenzordnung die Eigenverwaltung unter Aufsicht eines Sachwalters angeordnet, so gelten die §§ 105 bis 115d mit der Maßgabe, dass an die Stelle des Insolvenzverwalters der Sachwalter tritt.</w:t>
      </w:r>
    </w:p>
    <w:p>
      <w:r>
        <w:rPr>
          <w:color w:val="555555"/>
          <w:sz w:val="17"/>
        </w:rPr>
        <w:t xml:space="preserve">Zitiervorschlag: § 115e GenG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https://recht.nulegal.eu/gesetze/GenG/115e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