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115d GenG — Einziehung und Erstattung von Nachschüssen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Vorschriften der §§ 115b, 115c wird die Einziehung der Nachschüsse von den in der Genossenschaft verbliebenen Mitgliedern nicht berührt.</w:t>
      </w:r>
    </w:p>
    <w:p>
      <w:r>
        <w:t xml:space="preserve">(2) Aus den Nachschüssen der verbliebenen Mitglieder sind den ausgeschiedenen Mitgliedern die von diesen geleisteten Beiträge zu erstatten, sobald die in § 105 Abs. 1 bezeichneten Insolvenzgläubiger vollständig befriedigt oder sichergestellt sind.</w:t>
      </w:r>
    </w:p>
    <w:p>
      <w:r>
        <w:rPr>
          <w:color w:val="555555"/>
          <w:sz w:val="17"/>
        </w:rPr>
        <w:t xml:space="preserve">Zitiervorschlag: § 115d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https://recht.nulegal.eu/gesetze/GenG/115d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