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115c GenG — Beitragspflicht ausgeschiedener Mitglieder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Insolvenzverwalter hat unverzüglich eine Berechnung über die Beitragspflicht der ausgeschiedenen Mitglieder aufzustellen.</w:t>
      </w:r>
    </w:p>
    <w:p>
      <w:r>
        <w:t xml:space="preserve">(2) In der Berechnung sind die ausgeschiedenen Mitglieder namentlich zu bezeichnen und auf sie die Beiträge zu verteilen, soweit nicht das Unvermögen einzelner zur Leistung von Beiträgen vorauszusehen ist.</w:t>
      </w:r>
    </w:p>
    <w:p>
      <w:r>
        <w:t xml:space="preserve">(3) Im Übrigen finden die Vorschriften in § 106 Abs. 3, §§ 107 bis 109, 111 bis 113 und 115 entsprechende Anwendung.</w:t>
      </w:r>
    </w:p>
    <w:p>
      <w:r>
        <w:rPr>
          <w:color w:val="555555"/>
          <w:sz w:val="17"/>
        </w:rPr>
        <w:t xml:space="preserve">Zitiervorschlag: § 115c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