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GenG — Nachtragsverteilung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Insolvenzverwalter hat, nachdem die Nachschussberechnung für vollstreckbar erklärt ist, unverzüglich den gemäß § 110 vorhandenen Bestand und, so oft von den noch einzuziehenden Beiträgen hinreichender Bestand eingegangen ist, diesen im Wege der Nachtragsverteilung nach § 203 der Insolvenzordnung unter die Gläubiger zu verteilen. Soweit es keiner Nachschussberechnung bedarf, hat der Insolvenzverwalter die Verteilung unverzüglich vorzunehmen, nachdem die Feststellung nach § 114 Abs. 1 auf der Geschäftsstelle des Gerichts niedergelegt ist.</w:t>
      </w:r>
    </w:p>
    <w:p>
      <w:r>
        <w:t xml:space="preserve">(2) Außer den Anteilen auf die in §§ 189 bis 191 der Insolvenzordnung bezeichneten Forderungen sind zurückzubehalten die Anteile auf Forderungen, welche im Prüfungstermin von dem Vorstand ausdrücklich bestritten worden sind. Dem Gläubiger bleibt überlassen, den Widerspruch des Vorstands durch Klage zu beseitigen. Soweit der Widerspruch rechtskräftig für begründet erklärt wird, werden die Anteile zur Verteilung unter die übrigen Gläubiger frei.</w:t>
      </w:r>
    </w:p>
    <w:p>
      <w:r>
        <w:t xml:space="preserve">(3) Die zur Befriedigung der Gläubiger nicht erforderlichen Überschüsse hat der Insolvenzverwalter an die Mitglieder zurückzuzahlen.</w:t>
      </w:r>
    </w:p>
    <w:p>
      <w:r>
        <w:rPr>
          <w:color w:val="555555"/>
          <w:sz w:val="17"/>
        </w:rPr>
        <w:t xml:space="preserve">Zitiervorschlag: § 115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