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GenG — Nachschussberechnung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Sobald mit dem Vollzug der Schlussverteilung nach § 196 der Insolvenzordnung begonnen wird oder sobald nach einer Anzeige der Masseunzulänglichkeit nach § 208 der Insolvenzordnung die Insolvenzmasse verwertet ist, hat der Insolvenzverwalter schriftlich festzustellen, ob und in welcher Höhe nach der Verteilung des Erlöses ein Fehlbetrag verbleibt und inwieweit er durch die bereits geleisteten Nachschüsse gedeckt ist. Die Feststellung ist auf der Geschäftsstelle des Gerichts niederzulegen.</w:t>
      </w:r>
    </w:p>
    <w:p>
      <w:r>
        <w:t xml:space="preserve">(2) Verbleibt ein ungedeckter Fehlbetrag und können die Mitglieder zu weiteren Nachschüssen herangezogen werden, so hat der Insolvenzverwalter in Ergänzung oder Berichtigung der Vorschussberechnung und der zu ihr etwa ergangenen Zusätze zu berechnen, wieviel die Mitglieder nach § 105 an Nachschüssen zu leisten haben (Nachschussberechnung).</w:t>
      </w:r>
    </w:p>
    <w:p>
      <w:r>
        <w:t xml:space="preserve">(3) Die Nachschussberechnung unterliegt den Vorschriften der §§ 106 bis 109, 111 bis 113, der Vorschrift des § 106 Abs. 2 mit der Maßgabe, dass auf Mitglieder, deren Unvermögen zur Leistung von Beiträgen sich herausgestellt hat, Beiträge nicht verteilt werden.</w:t>
      </w:r>
    </w:p>
    <w:p>
      <w:r>
        <w:rPr>
          <w:color w:val="555555"/>
          <w:sz w:val="17"/>
        </w:rPr>
        <w:t xml:space="preserve">Zitiervorschlag: § 114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