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GenG — Einziehung der Vorschüsse</w:t>
      </w:r>
    </w:p>
    <w:p>
      <w:r>
        <w:rPr>
          <w:color w:val="555555"/>
          <w:sz w:val="18"/>
        </w:rPr>
        <w:t xml:space="preserve">Genossenschaftsgesetz</w:t>
      </w:r>
    </w:p>
    <w:p>
      <w:r>
        <w:rPr>
          <w:color w:val="555555"/>
          <w:sz w:val="18"/>
        </w:rPr>
        <w:t xml:space="preserve">Stand: 10.06.2019 (konsolidierte Textfassung, kein amtliches Inkrafttretensdatum)</w:t>
      </w:r>
    </w:p>
    <w:p>
      <w:r>
        <w:t xml:space="preserve">(1) Nachdem die Berechnung für vollstreckbar erklärt ist, hat der Insolvenzverwalter unverzüglich die Beiträge von den Mitgliedern einzuziehen.</w:t>
      </w:r>
    </w:p>
    <w:p>
      <w:r>
        <w:t xml:space="preserve">(2) Die Zwangsvollstreckung gegen ein Mitglied findet nach Maßgabe der Zivilprozessordnung auf Grund einer vollstreckbaren Ausfertigung der Entscheidung und eines Auszuges aus der Berechnung statt.</w:t>
      </w:r>
    </w:p>
    <w:p>
      <w:r>
        <w:t xml:space="preserve">(3) Für die in den Fällen der §§ 731, 767, 768 der Zivilprozessordnung zu erhebenden Klagen ist das Amtsgericht, bei welchem das Insolvenzverfahren anhängig ist und, wenn der Streitgegenstand zur Zuständigkeit der Amtsgerichte nicht gehört, das Landgericht ausschließlich zuständig, zu dessen Bezirk das Insolvenzgericht gehört.</w:t>
      </w:r>
    </w:p>
    <w:p>
      <w:r>
        <w:rPr>
          <w:color w:val="555555"/>
          <w:sz w:val="17"/>
        </w:rPr>
        <w:t xml:space="preserve">Zitiervorschlag: § 109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