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GenG — Gerichtliche Erklärung über die Vorschussberechnung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Erklärung über die Berechnung bestimmt das Gericht einen Termin, welcher nicht über zwei Wochen hinaus anberaumt werden darf. Der Termin ist öffentlich bekannt zu machen; die in der Berechnung aufgeführten Mitglieder sind besonders zu laden.</w:t>
      </w:r>
    </w:p>
    <w:p>
      <w:r>
        <w:t xml:space="preserve">(2) Die Berechnung ist spätestens drei Tage vor dem Termin auf der Geschäftsstelle zur Einsicht der Beteiligten niederzulegen. Hierauf ist in der Bekanntmachung und den Ladungen hinzuweisen.</w:t>
      </w:r>
    </w:p>
    <w:p>
      <w:r>
        <w:rPr>
          <w:color w:val="555555"/>
          <w:sz w:val="17"/>
        </w:rPr>
        <w:t xml:space="preserve">Zitiervorschlag: § 107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