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GenG — Genossenschaftsregister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sowie die Mitglieder des Vorstands sind in das Genossenschaftsregister bei dem Gericht einzutragen, in dessen Bezirk die Genossenschaft ihren Sitz hat.</w:t>
      </w:r>
    </w:p>
    <w:p>
      <w:r>
        <w:t xml:space="preserve">(2) Andere Datensammlungen dürfen nicht unter Verwendung oder Beifügung der Bezeichnung "Genossenschaftsregister" in den Verkehr gebracht werden.</w:t>
      </w:r>
    </w:p>
    <w:p>
      <w:r>
        <w:rPr>
          <w:color w:val="555555"/>
          <w:sz w:val="17"/>
        </w:rPr>
        <w:t xml:space="preserve">Zitiervorschlag: § 10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