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GenDV</w:t>
      </w:r>
    </w:p>
    <w:p>
      <w:r>
        <w:rPr>
          <w:color w:val="555555"/>
          <w:sz w:val="18"/>
        </w:rPr>
        <w:t xml:space="preserve">Genomdatenverordnung</w:t>
      </w:r>
    </w:p>
    <w:p>
      <w:r>
        <w:rPr>
          <w:color w:val="555555"/>
          <w:sz w:val="18"/>
        </w:rPr>
        <w:t xml:space="preserve">Stand: 12.07.2024 (konsolidierte Textfassung, kein amtliches Inkrafttretensdatum)</w:t>
      </w:r>
    </w:p>
    <w:p>
      <w:r>
        <w:t xml:space="preserve">Auf Grund des § 64e Absatz 12 des Fünften Buches Sozialgesetzbuch, der durch Artikel 3 Nummer 3 Buchstabe i des Gesetzes vom 22. März 2024 (BGBl. 2024 I Nr. 102) neu gefasst worden ist, verordnet das Bundesministerium für Gesundheit im Benehmen mit dem Bundesministerium für Bildung und Forschung:</w:t>
      </w:r>
    </w:p>
    <w:p>
      <w:r>
        <w:rPr>
          <w:color w:val="555555"/>
          <w:sz w:val="17"/>
        </w:rPr>
        <w:t xml:space="preserve">Zitiervorschlag: Eingangsformel GenDV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