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GenDV — Verfahren der Pseudonymisierung; Aufgabenwahrnehmung durch die Vertrauensstelle</w:t>
      </w:r>
    </w:p>
    <w:p>
      <w:r>
        <w:rPr>
          <w:color w:val="555555"/>
          <w:sz w:val="18"/>
        </w:rPr>
        <w:t xml:space="preserve">Genomdatenverordnung</w:t>
      </w:r>
    </w:p>
    <w:p>
      <w:r>
        <w:rPr>
          <w:color w:val="555555"/>
          <w:sz w:val="18"/>
        </w:rPr>
        <w:t xml:space="preserve">Stand: 12.07.2024 (konsolidierte Textfassung, kein amtliches Inkrafttretensdatum)</w:t>
      </w:r>
    </w:p>
    <w:p>
      <w:r>
        <w:t xml:space="preserve">(1) Das Robert Koch-Institut führt die Aufgaben der Vertrauensstelle eigenständig und getrennt von seinen übrigen Aufgaben aus. Die Vertrauensstelle ist räumlich, organisatorisch, technisch und personell vom Plattformträger, den Genomrechenzentren und den klinischen Datenknoten getrennt.</w:t>
      </w:r>
    </w:p>
    <w:p>
      <w:r>
        <w:t xml:space="preserve">(2) Die in den §§ 2 und 5 genannten Übermittlungen von Daten erfolgen über ein sicheres Übermittlungsverfahren. Die Anforderungen an die sichere Übermittlung der in § 2 Absatz 1 Nummer 1, Absatz 2, § 5 Absatz 1 Satz 1 und 2 genannten Daten werden von der Vertrauensstelle nach dem jeweiligen Stand der Technik festgelegt und aktualisiert auf der Internetseite des Robert Koch-Instituts veröffentlicht.</w:t>
      </w:r>
    </w:p>
    <w:p>
      <w:r>
        <w:t xml:space="preserve">(3) Auf die Übermittlung der in § 2 Absatz 1 Nummer 1 genannten Daten hin übermittelt die Vertrauensstelle für jeden Versicherten an den Leistungserbringer, der die in § 2 Absatz 1 Nummer 1 genannten Daten übermittelt hat, die</w:t>
      </w:r>
    </w:p>
    <w:p>
      <w:pPr>
        <w:ind w:left="420"/>
      </w:pPr>
      <w:r>
        <w:t xml:space="preserve">1. genomische Vorgangsnummer und</w:t>
      </w:r>
    </w:p>
    <w:p>
      <w:pPr>
        <w:ind w:left="420"/>
      </w:pPr>
      <w:r>
        <w:t xml:space="preserve">2. klinische Vorgangsnummer.</w:t>
      </w:r>
    </w:p>
    <w:p>
      <w:r>
        <w:t xml:space="preserve">(4) Die genomische Vorgangsnummer und die klinische Vorgangsnummer dürfen keinen Rückschluss auf die patienten- oder fallbezogenen Daten eines am Modellvorhaben teilnehmenden Versicherten zulassen.</w:t>
      </w:r>
    </w:p>
    <w:p>
      <w:r>
        <w:t xml:space="preserve">(5) Die Vertrauensstelle stellt nach einem von ihr festzulegendem Verfahren fest, ob die Übermittlung eines Genomdatensatzpseudonyms an ein Genomrechenzentrum und eines Klinikdatensatzpseudonyms an einen klinischen Datenknoten fehlerfrei verlaufen ist.</w:t>
      </w:r>
    </w:p>
    <w:p>
      <w:r>
        <w:rPr>
          <w:color w:val="555555"/>
          <w:sz w:val="17"/>
        </w:rPr>
        <w:t xml:space="preserve">Zitiervorschlag: § 7 GenDV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https://recht.nulegal.eu/gesetze/GenDV/7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