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GenDV — Qualitätsprüfung durch Genomrechenzentren und klinische Datenknoten; Meldebestätigung durch den Plattformträger</w:t>
      </w:r>
    </w:p>
    <w:p>
      <w:r>
        <w:rPr>
          <w:color w:val="555555"/>
          <w:sz w:val="18"/>
        </w:rPr>
        <w:t xml:space="preserve">Genomdatenverordnung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(1) Der Plattformträger vergibt für jedes nach § 64e Absatz 10a Satz 2 des Fünften Buches Sozialgesetzbuch zugelassene Genomrechenzentrum und für jeden nach § 64e Absatz 10b Satz 2 des Fünften Buches zugelassenen klinischen Datenknoten eine eindeutige Teilnehmer-Identifikationsnummer.</w:t>
      </w:r>
    </w:p>
    <w:p>
      <w:r>
        <w:t xml:space="preserve">(2) Die Genomrechenzentren und die klinischen Datenknoten übermitteln an den Plattformträger jeweils nach erfolgreichem Abschluss der in § 64e Absatz 10a Satz 4 Nummer 1 oder Absatz 10b Satz 4 Nummer 1 des Fünften Buches Sozialgesetzbuch genannten Qualitätsprüfung unverzüglich einen Prüfbericht sowie die vom Leistungserbringer übermittelte, in § 64e Absatz 10 Satz 1 Nummer 2 des Fünften Buches Sozialgesetzbuch genannte Vorgangsnummer (genomische Vorgangsnummer) oder die vom Leistungserbringer übermittelte, in § 64e Absatz 10 Satz 1 Nummer 3 des Fünften Buches Sozialgesetzbuch genannte Vorgangsnummer (klinische Vorgangsnummer). Der Prüfbericht beinhaltet</w:t>
      </w:r>
    </w:p>
    <w:p>
      <w:pPr>
        <w:ind w:left="420"/>
      </w:pPr>
      <w:r>
        <w:t xml:space="preserve">1. bei der Übermittlung durch ein Genomrechenzentrum</w:t>
      </w:r>
    </w:p>
    <w:p>
      <w:pPr>
        <w:ind w:left="780"/>
      </w:pPr>
      <w:r>
        <w:t xml:space="preserve">a) das Eingangsdatum der in § 2 Absatz 1 Nummer 2 genannten Daten,</w:t>
      </w:r>
    </w:p>
    <w:p>
      <w:pPr>
        <w:ind w:left="780"/>
      </w:pPr>
      <w:r>
        <w:t xml:space="preserve">b) den in Abschnitt I Nummer 2 der Anlage genannten Typ der Meldung,</w:t>
      </w:r>
    </w:p>
    <w:p>
      <w:pPr>
        <w:ind w:left="780"/>
      </w:pPr>
      <w:r>
        <w:t xml:space="preserve">c) die Information, dass die jeweiligen Daten vollständig übermittelt wurden,</w:t>
      </w:r>
    </w:p>
    <w:p>
      <w:pPr>
        <w:ind w:left="780"/>
      </w:pPr>
      <w:r>
        <w:t xml:space="preserve">d) die Information, ob eine Ganzgenomsequenzierung, eine Exomsequenzierung, eine Sequenzierung großer Gengruppen mit einem spezifischen Krankheitsbezug oder keine Sequenzierung stattgefunden hat und</w:t>
      </w:r>
    </w:p>
    <w:p>
      <w:pPr>
        <w:ind w:left="780"/>
      </w:pPr>
      <w:r>
        <w:t xml:space="preserve">e) die in § 4 Absatz 1 Satz 2 genannte Teilnehmer-Identifikationsnummer des Leistungserbringers,</w:t>
      </w:r>
    </w:p>
    <w:p>
      <w:pPr>
        <w:ind w:left="420"/>
      </w:pPr>
      <w:r>
        <w:t xml:space="preserve">2. bei der Übermittlung durch einen klinischen Datenknoten</w:t>
      </w:r>
    </w:p>
    <w:p>
      <w:pPr>
        <w:ind w:left="780"/>
      </w:pPr>
      <w:r>
        <w:t xml:space="preserve">a) das Eingangsdatum der in § 2 Absatz 1 Nummer 3 Buchstabe a bis f und h genannten Daten,</w:t>
      </w:r>
    </w:p>
    <w:p>
      <w:pPr>
        <w:ind w:left="780"/>
      </w:pPr>
      <w:r>
        <w:t xml:space="preserve">b) den in Abschnitt I Nummer 2 der Anlage genannten Typ der Meldung,</w:t>
      </w:r>
    </w:p>
    <w:p>
      <w:pPr>
        <w:ind w:left="780"/>
      </w:pPr>
      <w:r>
        <w:t xml:space="preserve">c) die Information, dass die jeweiligen Daten vollständig übermittelt wurden und</w:t>
      </w:r>
    </w:p>
    <w:p>
      <w:pPr>
        <w:ind w:left="780"/>
      </w:pPr>
      <w:r>
        <w:t xml:space="preserve">d) die in § 4 Absatz 1 Satz 2 genannte Teilnehmer-Identifikationsnummer des Leistungserbringers.</w:t>
      </w:r>
    </w:p>
    <w:p>
      <w:r>
        <w:t xml:space="preserve">(3) Auf die in Absatz 2 Satz 1 genannte Übermittlung hin erstellt der Plattformträger unverzüglich Meldebestätigungen und übermittelt diese gemeinsam mit der genomischen Vorgangsnummer oder der klinischen Vorgangsnummer an den jeweiligen Leistungserbringer.</w:t>
      </w:r>
    </w:p>
    <w:p>
      <w:r>
        <w:t xml:space="preserve">(4) Die in Absatz 3 genannten Meldebestätigungen enthalten</w:t>
      </w:r>
    </w:p>
    <w:p>
      <w:pPr>
        <w:ind w:left="420"/>
      </w:pPr>
      <w:r>
        <w:t xml:space="preserve">1. eine vom Plattformträger zu vergebende Identifikationsnummer der Meldebestätigung,</w:t>
      </w:r>
    </w:p>
    <w:p>
      <w:pPr>
        <w:ind w:left="420"/>
      </w:pPr>
      <w:r>
        <w:t xml:space="preserve">2. das Datum der Meldebestätigung,</w:t>
      </w:r>
    </w:p>
    <w:p>
      <w:pPr>
        <w:ind w:left="420"/>
      </w:pPr>
      <w:r>
        <w:t xml:space="preserve">3. den in Abschnitt I Nummer 2 der Anlage genannten Typ der Meldung,</w:t>
      </w:r>
    </w:p>
    <w:p>
      <w:pPr>
        <w:ind w:left="420"/>
      </w:pPr>
      <w:r>
        <w:t xml:space="preserve">4. die Information, dass die jeweiligen Daten vollständig übermittelt wurden,</w:t>
      </w:r>
    </w:p>
    <w:p>
      <w:pPr>
        <w:ind w:left="420"/>
      </w:pPr>
      <w:r>
        <w:t xml:space="preserve">5. die Information, ob eine Ganzgenomsequenzierung, eine Exomsequenzierung, eine Sequenzierung großer Gengruppen mit einem spezifischen Krankheitsbezug oder keine Sequenzierung stattgefunden hat,</w:t>
      </w:r>
    </w:p>
    <w:p>
      <w:pPr>
        <w:ind w:left="420"/>
      </w:pPr>
      <w:r>
        <w:t xml:space="preserve">6. die Information, ob klinische oder genomische Daten erhoben wurden und</w:t>
      </w:r>
    </w:p>
    <w:p>
      <w:pPr>
        <w:ind w:left="420"/>
      </w:pPr>
      <w:r>
        <w:t xml:space="preserve">7. die Information, ob es sich bei dem jeweiligen Fall um eine onkologische oder seltene Erkrankung handelt.</w:t>
      </w:r>
    </w:p>
    <w:p>
      <w:r>
        <w:t xml:space="preserve">(5) Die genomische Vorgangsnummer und die klinische Vorgangsnummer sind nach der Übermittlung an einen Leistungserbringer beim Plattformträger zu löschen.</w:t>
      </w:r>
    </w:p>
    <w:p>
      <w:r>
        <w:rPr>
          <w:color w:val="555555"/>
          <w:sz w:val="17"/>
        </w:rPr>
        <w:t xml:space="preserve">Zitiervorschlag: § 6 GenDV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