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4 GenDV — Datenverarbeitung durch die Leistungserbringer; Fristen der Datenübermittlung</w:t>
      </w:r>
    </w:p>
    <w:p>
      <w:r>
        <w:rPr>
          <w:color w:val="555555"/>
          <w:sz w:val="18"/>
        </w:rPr>
        <w:t xml:space="preserve">Genomdatenverordnung</w:t>
      </w:r>
    </w:p>
    <w:p>
      <w:r>
        <w:rPr>
          <w:color w:val="555555"/>
          <w:sz w:val="18"/>
        </w:rPr>
        <w:t xml:space="preserve">Stand: 12.07.2024 (konsolidierte Textfassung, kein amtliches Inkrafttretensdatum)</w:t>
      </w:r>
    </w:p>
    <w:p>
      <w:r>
        <w:t xml:space="preserve">(1) Jeder Leistungserbringer hat den Plattformträger spätestens einen Monat, nachdem der Leistungserbringer Vertragspartner des in § 64e Absatz 1 Satz 1 des Fünften Buches Sozialgesetzbuch genannten Vertrags geworden ist, über seine Teilnahme am Modellvorhaben zu informieren und ihm den Namen, die Telefonnummer und die E-Mail-Adresse einer Ansprechperson für das Modellvorhaben bei diesem Leistungserbringer mitzuteilen. Der Plattformträger vergibt auf die in Satz 1 genannte Mitteilung hin für jeden Leistungserbringer eine eindeutige Teilnehmer-Identifikationsnummer. Ergeben sich beim Leistungserbringer Änderungen, die für die Teilnahme am Modellvorhaben wesentlich sind, informiert er den Plattformträger unter Verwendung der in Satz 2 genannten Teilnehmer-Identifikationsnummer unverzüglich.</w:t>
      </w:r>
    </w:p>
    <w:p>
      <w:r>
        <w:t xml:space="preserve">(2) Jeder Leistungserbringer erzeugt die von ihm an die Vertrauensstelle nach § 64e Absatz 10 Satz 1 Nummer 1 des Fünften Buches Sozialgesetzbuch zu übermittelnde Arbeitsnummer nach einem von ihm festzulegenden Verfahren. Dabei darf die Zeichenlänge der Arbeitsnummer 40 Stellen nicht überschreiten. Die Arbeitsnummer darf keinen Rückschluss auf die personen- oder fallbezogenen Daten eines am Modellvorhaben teilnehmenden Versicherten zulassen. Die Arbeitsnummer darf ausschließlich verwendet werden zur</w:t>
      </w:r>
    </w:p>
    <w:p>
      <w:pPr>
        <w:ind w:left="420"/>
      </w:pPr>
      <w:r>
        <w:t xml:space="preserve">1. internen Kennzeichnung des zu übermittelnden Datensatzes durch den Leistungserbringer und</w:t>
      </w:r>
    </w:p>
    <w:p>
      <w:pPr>
        <w:ind w:left="420"/>
      </w:pPr>
      <w:r>
        <w:t xml:space="preserve">2. Wiederherstellung des Fallbezugs der Daten in den in § 64e Absatz 9c Satz 7 des Fünften Buches Sozialgesetzbuch genannten Fällen.</w:t>
      </w:r>
    </w:p>
    <w:p>
      <w:r>
        <w:t xml:space="preserve">(3) Der Leistungserbringer übermittelt die in § 2 Absatz 1 genannten Daten, sobald sie vollständig erhoben sind, spätestens jedoch drei Monate nach Abschluss der Erhebung der Daten. Die Übermittlung der in § 2 Absatz 1 genannten Daten erfolgt erstmals</w:t>
      </w:r>
    </w:p>
    <w:p>
      <w:pPr>
        <w:ind w:left="420"/>
      </w:pPr>
      <w:r>
        <w:t xml:space="preserve">1. für die in § 2 Absatz 1 Nummer 2 genannten Daten spätestens drei Monate nach Bekanntgabe der Funktionsfähigkeit eines Genomrechenzentrums und</w:t>
      </w:r>
    </w:p>
    <w:p>
      <w:pPr>
        <w:ind w:left="420"/>
      </w:pPr>
      <w:r>
        <w:t xml:space="preserve">2. für die in § 2 Absatz 1 Nummer 3 genannten Daten spätestens drei Monate nach Bekanntgabe der Funktionsfähigkeit eines klinischen Datenknotens.</w:t>
      </w:r>
    </w:p>
    <w:p>
      <w:r>
        <w:t xml:space="preserve">Die Bekanntgabe der Funktionsfähigkeit der in Satz 2 genannten Stellen erfolgt jeweils durch den Plattformträger auf der Internetseite des Bundesinstituts für Arzneimittel und Medizinprodukte.</w:t>
      </w:r>
    </w:p>
    <w:p>
      <w:r>
        <w:rPr>
          <w:color w:val="555555"/>
          <w:sz w:val="17"/>
        </w:rPr>
        <w:t xml:space="preserve">Zitiervorschlag: § 4 GenDV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https://recht.nulegal.eu/gesetze/GenDV/4</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