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GenDV — Konkretisierung und Aktualisierung der zu übermittelnden Daten</w:t>
      </w:r>
    </w:p>
    <w:p>
      <w:r>
        <w:rPr>
          <w:color w:val="555555"/>
          <w:sz w:val="18"/>
        </w:rPr>
        <w:t xml:space="preserve">Genomdatenverordnung</w:t>
      </w:r>
    </w:p>
    <w:p>
      <w:r>
        <w:rPr>
          <w:color w:val="555555"/>
          <w:sz w:val="18"/>
        </w:rPr>
        <w:t xml:space="preserve">Stand: 12.07.2024 (konsolidierte Textfassung, kein amtliches Inkrafttretensdatum)</w:t>
      </w:r>
    </w:p>
    <w:p>
      <w:r>
        <w:t xml:space="preserve">(1) Der Plattformträger erstellt regelmäßig Empfehlungen zur Aktualisierung und Konkretisierung der in der Anlage genannten Aufstellung von Daten und stellt diese Empfehlungen dem Bundesministerium für Gesundheit bis zum 1. April eines jeden Kalenderjahres, erstmals bis zum 1. April 2025, zur Verfügung. Bei den Empfehlungen zur Aktualisierung und Konkretisierung der in Satz 1 genannten Aufstellung von Daten mit Bezug zu onkologischen Erkrankungen sind Aktualisierungen des in § 65c Absatz 1 Satz 3 des Fünften Buches Sozialgesetzbuch genannten einheitlichen onkologischen Basisdatensatzes zu berücksichtigen, sofern diese auf das Modellvorhaben Anwendung finden können.</w:t>
      </w:r>
    </w:p>
    <w:p>
      <w:r>
        <w:t xml:space="preserve">(2) Bei den in Absatz 1 Satz 1 genannten Empfehlungen hat der Plattformträger den aktuellen Stand der medizinischen Wissenschaft sowie international anerkannte, offene Standards zu berücksichtigen. Die in Absatz 1 Satz 1 genannten Empfehlungen sollen sicherstellen, dass Datenanalysen im Rahmen der Patientenversorgung sowie im Rahmen von nationalen, europäischen und internationalen Forschungsvorhaben durchgeführt werden können.</w:t>
      </w:r>
    </w:p>
    <w:p>
      <w:r>
        <w:t xml:space="preserve">(3) Der Plattformträger beteiligt bei der Erstellung der in Absatz 1 Satz 1 genannten Empfehlungen den in § 64e Absatz 9a Satz 1 des Fünften Buches Sozialgesetzbuch genannten Beirat und, sofern die Aufstellung von Daten aus den entsprechenden Bereichen betroffen ist,</w:t>
      </w:r>
    </w:p>
    <w:p>
      <w:pPr>
        <w:ind w:left="420"/>
      </w:pPr>
      <w:r>
        <w:t xml:space="preserve">1. für den Bereich onkologische Erkrankungen die Arbeitsgemeinschaft Deutscher Tumorzentren, die Gesellschaft der epidemiologischen Krebsregister in Deutschland und die Deutsche Gesellschaft für Pathologie und</w:t>
      </w:r>
    </w:p>
    <w:p>
      <w:pPr>
        <w:ind w:left="420"/>
      </w:pPr>
      <w:r>
        <w:t xml:space="preserve">2. für den Bereich seltene Erkrankungen die Deutsche Gesellschaft für Humangenetik und die Arbeitsgemeinschaft der Zentren für Seltene Erkrankungen.</w:t>
      </w:r>
    </w:p>
    <w:p>
      <w:r>
        <w:rPr>
          <w:color w:val="555555"/>
          <w:sz w:val="17"/>
        </w:rPr>
        <w:t xml:space="preserve">Zitiervorschlag: § 3 GenDV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https://recht.nulegal.eu/gesetze/GenDV/3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