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GenDV — Anwendungsbereich</w:t>
      </w:r>
    </w:p>
    <w:p>
      <w:r>
        <w:rPr>
          <w:color w:val="555555"/>
          <w:sz w:val="18"/>
        </w:rPr>
        <w:t xml:space="preserve">Genomdatenverordnung</w:t>
      </w:r>
    </w:p>
    <w:p>
      <w:r>
        <w:rPr>
          <w:color w:val="555555"/>
          <w:sz w:val="18"/>
        </w:rPr>
        <w:t xml:space="preserve">Stand: 12.07.2024 (konsolidierte Textfassung, kein amtliches Inkrafttretensdatum)</w:t>
      </w:r>
    </w:p>
    <w:p>
      <w:r>
        <w:t xml:space="preserve">Diese Verordnung findet Anwendung auf das Modellvorhaben zur umfassenden Diagnostik und Therapiefindung mittels Genomsequenzierung bei seltenen und bei onkologischen Erkrankungen nach § 64e des Fünften Buches Sozialgesetzbuch.</w:t>
      </w:r>
    </w:p>
    <w:p>
      <w:r>
        <w:rPr>
          <w:color w:val="555555"/>
          <w:sz w:val="17"/>
        </w:rPr>
        <w:t xml:space="preserve">Zitiervorschlag: § 1 GenDV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