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GenDKKostV</w:t>
      </w:r>
    </w:p>
    <w:p>
      <w:r>
        <w:rPr>
          <w:color w:val="555555"/>
          <w:sz w:val="18"/>
        </w:rPr>
        <w:t xml:space="preserve">Gendiagnostik-Kommission-Kostenverordnung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Auf Grund des § 24 Absatz 2 des Gendiagnostikgesetzes vom 31. Juli 2009 (BGBl. I S. 2529, 3672) in Verbindung mit dem 2. Abschnitt des Verwaltungskostengesetzes vom 23. Juni 1970 (BGBl. I S. 821) verordnet das Bundesministerium für Gesundheit:</w:t>
      </w:r>
    </w:p>
    <w:p>
      <w:r>
        <w:rPr>
          <w:color w:val="555555"/>
          <w:sz w:val="17"/>
        </w:rPr>
        <w:t xml:space="preserve">Zitiervorschlag: Eingangsformel GenDKKostV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https://recht.nulegal.eu/gesetze/GenDKKostV/eingangsformel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